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E7" w:rsidRDefault="003544E7" w:rsidP="003544E7">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3544E7" w:rsidRDefault="003544E7" w:rsidP="003544E7">
      <w:pPr>
        <w:keepNext w:val="0"/>
        <w:keepLines w:val="0"/>
        <w:autoSpaceDE w:val="0"/>
        <w:autoSpaceDN w:val="0"/>
        <w:adjustRightInd w:val="0"/>
        <w:spacing w:before="0" w:line="240" w:lineRule="auto"/>
        <w:rPr>
          <w:rFonts w:ascii="Tahoma" w:eastAsiaTheme="minorHAnsi" w:hAnsi="Tahoma" w:cs="Tahoma"/>
          <w:color w:val="auto"/>
          <w:sz w:val="20"/>
          <w:szCs w:val="20"/>
        </w:rPr>
      </w:pPr>
    </w:p>
    <w:p w:rsidR="003544E7" w:rsidRDefault="003544E7" w:rsidP="003544E7">
      <w:pPr>
        <w:autoSpaceDE w:val="0"/>
        <w:autoSpaceDN w:val="0"/>
        <w:adjustRightInd w:val="0"/>
        <w:spacing w:after="0" w:line="240" w:lineRule="auto"/>
        <w:jc w:val="both"/>
        <w:outlineLvl w:val="0"/>
        <w:rPr>
          <w:rFonts w:ascii="Arial" w:hAnsi="Arial" w:cs="Arial"/>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30 апреля 2022 г. N 809</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ХРАНЕНИИ</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НАРКОТИЧЕСКИХ СРЕДСТВ, ПСИХОТРОПНЫХ ВЕЩЕСТВ И ИХ ПРЕКУРСОРОВ</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1 статьи 20</w:t>
        </w:r>
      </w:hyperlink>
      <w:r>
        <w:rPr>
          <w:rFonts w:ascii="Arial" w:hAnsi="Arial" w:cs="Arial"/>
          <w:sz w:val="20"/>
          <w:szCs w:val="20"/>
        </w:rPr>
        <w:t xml:space="preserve"> Федерального закона "О наркотических средствах и психотропных веществах" Правительство Российской Федерации постановляет:</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hyperlink w:anchor="Par30" w:history="1">
        <w:r>
          <w:rPr>
            <w:rFonts w:ascii="Arial" w:hAnsi="Arial" w:cs="Arial"/>
            <w:color w:val="0000FF"/>
            <w:sz w:val="20"/>
            <w:szCs w:val="20"/>
          </w:rPr>
          <w:t>Правила</w:t>
        </w:r>
      </w:hyperlink>
      <w:r>
        <w:rPr>
          <w:rFonts w:ascii="Arial" w:hAnsi="Arial" w:cs="Arial"/>
          <w:sz w:val="20"/>
          <w:szCs w:val="20"/>
        </w:rPr>
        <w:t xml:space="preserve"> хранения наркотических средств, психотропных веществ и их прекурсоров;</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hyperlink w:anchor="Par75" w:history="1">
        <w:r>
          <w:rPr>
            <w:rFonts w:ascii="Arial" w:hAnsi="Arial" w:cs="Arial"/>
            <w:color w:val="0000FF"/>
            <w:sz w:val="20"/>
            <w:szCs w:val="20"/>
          </w:rPr>
          <w:t>изменение</w:t>
        </w:r>
      </w:hyperlink>
      <w:r>
        <w:rPr>
          <w:rFonts w:ascii="Arial" w:hAnsi="Arial" w:cs="Arial"/>
          <w:sz w:val="20"/>
          <w:szCs w:val="20"/>
        </w:rPr>
        <w:t xml:space="preserve">, которое вносится в </w:t>
      </w:r>
      <w:hyperlink r:id="rId6" w:history="1">
        <w:r>
          <w:rPr>
            <w:rFonts w:ascii="Arial" w:hAnsi="Arial" w:cs="Arial"/>
            <w:color w:val="0000FF"/>
            <w:sz w:val="20"/>
            <w:szCs w:val="20"/>
          </w:rPr>
          <w:t>пункт 16</w:t>
        </w:r>
      </w:hyperlink>
      <w:r>
        <w:rPr>
          <w:rFonts w:ascii="Arial" w:hAnsi="Arial" w:cs="Arial"/>
          <w:sz w:val="20"/>
          <w:szCs w:val="20"/>
        </w:rPr>
        <w:t xml:space="preserve"> приложения N 1 к постановлению Правительства Российской Федерации от 14 августа 1992 г. N 587 "Вопросы частной детективной (сыскной) и частной охранной деятельности" (Собрание актов Президента и Правительства Российской Федерации, 1992, N 8, ст. 506; Собрание законодательства Российской Федерации, 2012, N 6, ст. 665; 2021, N 44, ст. 7427).</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утратившими силу акты и отдельные положения актов Правительства Российской Федерации по перечню согласно </w:t>
      </w:r>
      <w:hyperlink w:anchor="Par92" w:history="1">
        <w:r>
          <w:rPr>
            <w:rFonts w:ascii="Arial" w:hAnsi="Arial" w:cs="Arial"/>
            <w:color w:val="0000FF"/>
            <w:sz w:val="20"/>
            <w:szCs w:val="20"/>
          </w:rPr>
          <w:t>приложению</w:t>
        </w:r>
      </w:hyperlink>
      <w:r>
        <w:rPr>
          <w:rFonts w:ascii="Arial" w:hAnsi="Arial" w:cs="Arial"/>
          <w:sz w:val="20"/>
          <w:szCs w:val="20"/>
        </w:rPr>
        <w:t>.</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 1 сентября 2022 г.</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Установить, что </w:t>
      </w:r>
      <w:hyperlink w:anchor="Par30" w:history="1">
        <w:r>
          <w:rPr>
            <w:rFonts w:ascii="Arial" w:hAnsi="Arial" w:cs="Arial"/>
            <w:color w:val="0000FF"/>
            <w:sz w:val="20"/>
            <w:szCs w:val="20"/>
          </w:rPr>
          <w:t>Правила</w:t>
        </w:r>
      </w:hyperlink>
      <w:r>
        <w:rPr>
          <w:rFonts w:ascii="Arial" w:hAnsi="Arial" w:cs="Arial"/>
          <w:sz w:val="20"/>
          <w:szCs w:val="20"/>
        </w:rPr>
        <w:t>, утвержденные настоящим постановлением, действуют до 1 сентября 2028 г.</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апреля 2022 г. N 809</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0"/>
      <w:bookmarkEnd w:id="0"/>
      <w:r>
        <w:rPr>
          <w:rFonts w:ascii="Arial" w:eastAsiaTheme="minorHAnsi" w:hAnsi="Arial" w:cs="Arial"/>
          <w:b/>
          <w:bCs/>
          <w:color w:val="auto"/>
          <w:sz w:val="20"/>
          <w:szCs w:val="20"/>
        </w:rPr>
        <w:t>ПРАВИЛА</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ХРАНЕНИЯ НАРКОТИЧЕСКИХ СРЕДСТВ, ПСИХОТРОПНЫХ ВЕЩЕСТВ</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ИХ ПРЕКУРСОРОВ</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устанавливают порядок хранения наркотических средств и психотропных веществ, включенных в </w:t>
      </w:r>
      <w:hyperlink r:id="rId7" w:history="1">
        <w:r>
          <w:rPr>
            <w:rFonts w:ascii="Arial" w:hAnsi="Arial" w:cs="Arial"/>
            <w:color w:val="0000FF"/>
            <w:sz w:val="20"/>
            <w:szCs w:val="20"/>
          </w:rPr>
          <w:t>перечень</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соответственно - наркотические средства, психотропные вещества, перечень), а также прекурсоров наркотических средств и психотропных веществ, внесенных в </w:t>
      </w:r>
      <w:hyperlink r:id="rId8" w:history="1">
        <w:r>
          <w:rPr>
            <w:rFonts w:ascii="Arial" w:hAnsi="Arial" w:cs="Arial"/>
            <w:color w:val="0000FF"/>
            <w:sz w:val="20"/>
            <w:szCs w:val="20"/>
          </w:rPr>
          <w:t>список I</w:t>
        </w:r>
      </w:hyperlink>
      <w:r>
        <w:rPr>
          <w:rFonts w:ascii="Arial" w:hAnsi="Arial" w:cs="Arial"/>
          <w:sz w:val="20"/>
          <w:szCs w:val="20"/>
        </w:rPr>
        <w:t xml:space="preserve"> перечня (далее - прекурсоры).</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Хранение наркотических средств, психотропных веществ и прекурсоров осуществляется юридическими лицами,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выполняемых работ и услуг по хранению наркотических средств, психотропных веществ и прекурсоров.</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Хранение наркотических средств, психотропных веществ и прекурсоров осуществляется в специально оборудованных помещениях, требования к оснащению которых инженерно-техническими средствами охраны устанавливаются в соответствии с </w:t>
      </w:r>
      <w:hyperlink r:id="rId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прекурсоров, и (или) культивирование наркосодержащих растений" (далее - помещения), а также в местах временного хранения (за исключением прекурсоров).</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Помещения подразделяются на 5 категорий. В отношении помещений каждой из категорий устанавливаются требования к условиям хранения в них наркотических средств, психотропных веществ и прекурсоров.</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 1-й категории относятся помещения производителей и изготовителей (за исключением аптечных организаций) наркотических средств, психотропных веществ и прекурсоров, предназначенные для хранения исходных материалов и готовой продукции (за исключением продукции, находящейся в незавершенном производстве), помещения организаций, осуществляющих оптовую торговлю наркотическими средствами и психотропными веществами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организаций, осуществляющих хранение наркотических средств и психотропных веществ, предназначенных для ликвидации медико-санитарных последствий чрезвычайных ситуаций природного и техногенного характера или для мобилизационных нужд.</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 2-й категории относятся помещения аптечных организаций, предназначенные для хранения 3-месячного или 6-месячного запаса (для аптечных организаций, расположенных в сельских населенных пунктах и удаленных </w:t>
      </w:r>
      <w:proofErr w:type="gramStart"/>
      <w:r>
        <w:rPr>
          <w:rFonts w:ascii="Arial" w:hAnsi="Arial" w:cs="Arial"/>
          <w:sz w:val="20"/>
          <w:szCs w:val="20"/>
        </w:rPr>
        <w:t>от населенных пунктов местностях</w:t>
      </w:r>
      <w:proofErr w:type="gramEnd"/>
      <w:r>
        <w:rPr>
          <w:rFonts w:ascii="Arial" w:hAnsi="Arial" w:cs="Arial"/>
          <w:sz w:val="20"/>
          <w:szCs w:val="20"/>
        </w:rPr>
        <w:t>) наркотических средств и психотропных веществ, а также помещения ветеринарных аптечных организаций, предназначенные для хранения 3-месячного запаса наркотических средств и психотропных веществ.</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 3-й категории относятся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w:t>
      </w:r>
      <w:hyperlink r:id="rId10" w:history="1">
        <w:r>
          <w:rPr>
            <w:rFonts w:ascii="Arial" w:hAnsi="Arial" w:cs="Arial"/>
            <w:color w:val="0000FF"/>
            <w:sz w:val="20"/>
            <w:szCs w:val="20"/>
          </w:rPr>
          <w:t>список II</w:t>
        </w:r>
      </w:hyperlink>
      <w:r>
        <w:rPr>
          <w:rFonts w:ascii="Arial" w:hAnsi="Arial" w:cs="Arial"/>
          <w:sz w:val="20"/>
          <w:szCs w:val="20"/>
        </w:rPr>
        <w:t xml:space="preserve"> перечня, и месячного запаса психотропных веществ, внесенных в </w:t>
      </w:r>
      <w:hyperlink r:id="rId11" w:history="1">
        <w:r>
          <w:rPr>
            <w:rFonts w:ascii="Arial" w:hAnsi="Arial" w:cs="Arial"/>
            <w:color w:val="0000FF"/>
            <w:sz w:val="20"/>
            <w:szCs w:val="20"/>
          </w:rPr>
          <w:t>список III</w:t>
        </w:r>
      </w:hyperlink>
      <w:r>
        <w:rPr>
          <w:rFonts w:ascii="Arial" w:hAnsi="Arial" w:cs="Arial"/>
          <w:sz w:val="20"/>
          <w:szCs w:val="20"/>
        </w:rPr>
        <w:t xml:space="preserve"> перечня, помещения медицинских организаций, предназначенные для хранения наркотических лекарственных препаратов и психотропных лекарственных препаратов, производящих отпуск указанных лекарственных препаратов физическим лицам в соответствии с </w:t>
      </w:r>
      <w:hyperlink r:id="rId12" w:history="1">
        <w:r>
          <w:rPr>
            <w:rFonts w:ascii="Arial" w:hAnsi="Arial" w:cs="Arial"/>
            <w:color w:val="0000FF"/>
            <w:sz w:val="20"/>
            <w:szCs w:val="20"/>
          </w:rPr>
          <w:t>пунктом 1 статьи 25</w:t>
        </w:r>
      </w:hyperlink>
      <w:r>
        <w:rPr>
          <w:rFonts w:ascii="Arial" w:hAnsi="Arial" w:cs="Arial"/>
          <w:sz w:val="20"/>
          <w:szCs w:val="20"/>
        </w:rPr>
        <w:t xml:space="preserve"> Федерального закона "О наркотических средствах и психотропных веществах", помещения юридических лиц, предназначенные для хранения наркотических средств и психотропных веществ, используемых в научных, учебных целях и в экспертной деятельности, а также помещения юридических лиц, предназначенные для хранения прекурсоров, используемых в научных, учебных целях и в экспертной деятельности.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 4-й категории относятся помещения медицинских и ветеринарных организаций, предназначенные для хранения трехдневного запаса наркотических средств и психотропных веществ, а также помещения медицинских организаций, предназначенные для хранения неиспользованных наркотических средств, принятых от родственников умерших больных.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К 5-й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 производящих отпуск указанных лекарственных препаратов физическим лицам в соответствии с </w:t>
      </w:r>
      <w:hyperlink r:id="rId13" w:history="1">
        <w:r>
          <w:rPr>
            <w:rFonts w:ascii="Arial" w:hAnsi="Arial" w:cs="Arial"/>
            <w:color w:val="0000FF"/>
            <w:sz w:val="20"/>
            <w:szCs w:val="20"/>
          </w:rPr>
          <w:t>пунктом 1 статьи 25</w:t>
        </w:r>
      </w:hyperlink>
      <w:r>
        <w:rPr>
          <w:rFonts w:ascii="Arial" w:hAnsi="Arial" w:cs="Arial"/>
          <w:sz w:val="20"/>
          <w:szCs w:val="20"/>
        </w:rPr>
        <w:t xml:space="preserve"> Федерального закона "О наркотических средствах и психотропных веществах".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 предназначенных для медицинского применения.</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для ветеринарного применения, определяются юридическими лицами на основании установленных Министерством сельского хозяйства </w:t>
      </w:r>
      <w:r>
        <w:rPr>
          <w:rFonts w:ascii="Arial" w:hAnsi="Arial" w:cs="Arial"/>
          <w:sz w:val="20"/>
          <w:szCs w:val="20"/>
        </w:rPr>
        <w:lastRenderedPageBreak/>
        <w:t>Российской Федерации нормативов для расчета потребности в указанных лекарственных средствах для ветеринарного применения.</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помещении, относящемся к 1-й категории, наркотические средства, психотропные вещества и прекурсоры хранятся в запирающихся сейфах или металлических шкафах. Допускается хранение наркотических средств, психотропных веществ и прекурсоров на стеллажах (поддонах) в невскрытой (неповрежденной) групповой или транспортной таре либо в опечатанной таре в случае хранения больших объемов наркотических средств, психотропных веществ и прекурсоров, не позволяющих размещение их в сейфах (металлических шкафах).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помещении, относящемся ко 2-й категории, наркотические средства и психотропные вещества хранятся в запирающихся сейфах или металлических шкафах.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помещении, относящемся к 3-й категории, наркотические средства, психотропные вещества и прекурсоры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помещении, относящемся к 4-й категории, наркотические средства и психотропные вещества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помещении, относящемся к 5-й категории, наркотические лекарственные препараты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 местам временного хранения наркотических средств и психотропных веществ относятся укладки, наборы, комплекты для оказания первичной медико-санитарной помощи, специализированной, в том числе высокотехнологичной, скорой и паллиативной медицинской помощи, в состав которых входят наркотические средства и психотропные вещества.</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Решение о необходимости организации мест временного хранения, предназначенных для хранения наркотических средств и психотропных веществ в количестве, не превышающем суточного запаса, к которым могут быть отнесены посты среднего медицинского персонала медицинских организаций, рабочие места фармацевтических работников рецептурного отдела аптечных организаций, рабочие места специалистов ветеринарных организаций, рабочие места специалистов организаций, использующих наркотические средства, психотропные вещества и прекурсоры в научных, учебных целях и в экспертной деятельности, принимает руководитель юридического лица или уполномоченное им должностное лицо.</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местах временного хранения наркотические средства и психотропные вещества хранятся в запирающихся сейфах не ниже 1-го класса устойчивости к взлому или металлических либо изготовленных из других высокопрочных материалов контейнерах.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Наркотические средства и психотропные вещества, находящиеся на хранении в помещениях всех категорий и в местах временного хранения, а также прекурсоры, находящиеся на хранении в помещениях 1-й и 3-й категорий, подлежат учету в порядке, предусмотренном </w:t>
      </w:r>
      <w:hyperlink r:id="rId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и </w:t>
      </w:r>
      <w:hyperlink r:id="rId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целях обеспечения сохранности наркотических средств, психотропных веществ и прекурсоров помещения, за исключением помещений, относящихся к 5-й категории, подлежат охране.</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bookmarkStart w:id="1" w:name="Par55"/>
      <w:bookmarkEnd w:id="1"/>
      <w:r>
        <w:rPr>
          <w:rFonts w:ascii="Arial" w:hAnsi="Arial" w:cs="Arial"/>
          <w:sz w:val="20"/>
          <w:szCs w:val="20"/>
        </w:rPr>
        <w:lastRenderedPageBreak/>
        <w:t>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Охрана помещений, относящихся к 3-й и 4-й категориям, осуществляется путем привлечения указанных в </w:t>
      </w:r>
      <w:hyperlink w:anchor="Par55" w:history="1">
        <w:r>
          <w:rPr>
            <w:rFonts w:ascii="Arial" w:hAnsi="Arial" w:cs="Arial"/>
            <w:color w:val="0000FF"/>
            <w:sz w:val="20"/>
            <w:szCs w:val="20"/>
          </w:rPr>
          <w:t>пункте 22</w:t>
        </w:r>
      </w:hyperlink>
      <w:r>
        <w:rPr>
          <w:rFonts w:ascii="Arial" w:hAnsi="Arial" w:cs="Arial"/>
          <w:sz w:val="20"/>
          <w:szCs w:val="20"/>
        </w:rPr>
        <w:t xml:space="preserve"> настоящих Правил охранных организаций, либо юридических лиц, имеющих лицензию на осуществление частной охранной деятельности.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bookmarkStart w:id="2" w:name="Par57"/>
      <w:bookmarkEnd w:id="2"/>
      <w:r>
        <w:rPr>
          <w:rFonts w:ascii="Arial" w:hAnsi="Arial" w:cs="Arial"/>
          <w:sz w:val="20"/>
          <w:szCs w:val="20"/>
        </w:rPr>
        <w:t>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 установленных на охраняемых объектах.</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bookmarkStart w:id="3" w:name="Par58"/>
      <w:bookmarkEnd w:id="3"/>
      <w:r>
        <w:rPr>
          <w:rFonts w:ascii="Arial" w:hAnsi="Arial" w:cs="Arial"/>
          <w:sz w:val="20"/>
          <w:szCs w:val="20"/>
        </w:rPr>
        <w:t xml:space="preserve">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w:t>
      </w:r>
      <w:hyperlink w:anchor="Par55" w:history="1">
        <w:r>
          <w:rPr>
            <w:rFonts w:ascii="Arial" w:hAnsi="Arial" w:cs="Arial"/>
            <w:color w:val="0000FF"/>
            <w:sz w:val="20"/>
            <w:szCs w:val="20"/>
          </w:rPr>
          <w:t>пунктах 22</w:t>
        </w:r>
      </w:hyperlink>
      <w:r>
        <w:rPr>
          <w:rFonts w:ascii="Arial" w:hAnsi="Arial" w:cs="Arial"/>
          <w:sz w:val="20"/>
          <w:szCs w:val="20"/>
        </w:rPr>
        <w:t xml:space="preserve"> - </w:t>
      </w:r>
      <w:hyperlink w:anchor="Par57" w:history="1">
        <w:r>
          <w:rPr>
            <w:rFonts w:ascii="Arial" w:hAnsi="Arial" w:cs="Arial"/>
            <w:color w:val="0000FF"/>
            <w:sz w:val="20"/>
            <w:szCs w:val="20"/>
          </w:rPr>
          <w:t>24</w:t>
        </w:r>
      </w:hyperlink>
      <w:r>
        <w:rPr>
          <w:rFonts w:ascii="Arial" w:hAnsi="Arial" w:cs="Arial"/>
          <w:sz w:val="20"/>
          <w:szCs w:val="20"/>
        </w:rPr>
        <w:t xml:space="preserve"> настоящих Правил.</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58" w:history="1">
        <w:r>
          <w:rPr>
            <w:rFonts w:ascii="Arial" w:hAnsi="Arial" w:cs="Arial"/>
            <w:color w:val="0000FF"/>
            <w:sz w:val="20"/>
            <w:szCs w:val="20"/>
          </w:rPr>
          <w:t>абзаца первого</w:t>
        </w:r>
      </w:hyperlink>
      <w:r>
        <w:rPr>
          <w:rFonts w:ascii="Arial" w:hAnsi="Arial" w:cs="Arial"/>
          <w:sz w:val="20"/>
          <w:szCs w:val="20"/>
        </w:rPr>
        <w:t xml:space="preserve"> настоящего пункта не применяются к охране помещений, относящихся к 5-й категории.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После окончания рабочего дня сейфы, металлические шкафы и помещения опечатываются (пломбируются) и сдаются под охрану. Не подлежат сдаче под охрану помещения, имеющие круглосуточный режим работы, а также помещения, относящиеся к 5-й категории.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Приказом руководителя юридического лица (уполномоченного им должностного лица) назначаются лица, ответственные за хранение наркотических средств, психотропных веществ и прекурсоров, допущенные к работе с наркотическими средствами, психотропными веществами и прекурсорами, и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 Список лиц, имеющих право доступа в помещения, утверждается приказом руководителя юридического лица (уполномоченного им должностного лица).</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Ответственность за организацию хранения наркотических средств, психотропных веществ и прекурсоров возлагается на руководителя юридического лица либо уполномоченное им должностное лицо.</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Специальные требования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экспертных организациях и организациях оптовой торговли лекарственными средствами устанавливаются Министерством здравоохранения Российской Федерации.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Особенности хранения наркотических средств и психотропных веществ,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 а также в Вооруженных Силах Российской Федерации, войсках национальной гвардии Российской Федерации и органах государственной охраны, устанавливаются соответствующими федеральными органами исполнительной власти.</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апреля 2022 г. N 809</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75"/>
      <w:bookmarkEnd w:id="4"/>
      <w:r>
        <w:rPr>
          <w:rFonts w:ascii="Arial" w:eastAsiaTheme="minorHAnsi" w:hAnsi="Arial" w:cs="Arial"/>
          <w:b/>
          <w:bCs/>
          <w:color w:val="auto"/>
          <w:sz w:val="20"/>
          <w:szCs w:val="20"/>
        </w:rPr>
        <w:t>ИЗМЕНЕНИЕ,</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КОТОРОЕ ВНОСИТСЯ В ПУНКТ 16 ПРИЛОЖЕНИЯ N 1 К ПОСТАНОВЛЕНИЮ</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ПРАВИТЕЛЬСТВА РОССИЙСКОЙ ФЕДЕРАЦИИ</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14 АВГУСТА 1992 Г. N 587</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ind w:firstLine="540"/>
        <w:jc w:val="both"/>
        <w:rPr>
          <w:rFonts w:ascii="Arial" w:hAnsi="Arial" w:cs="Arial"/>
          <w:sz w:val="20"/>
          <w:szCs w:val="20"/>
        </w:rPr>
      </w:pPr>
      <w:hyperlink r:id="rId16" w:history="1">
        <w:r>
          <w:rPr>
            <w:rFonts w:ascii="Arial" w:hAnsi="Arial" w:cs="Arial"/>
            <w:color w:val="0000FF"/>
            <w:sz w:val="20"/>
            <w:szCs w:val="20"/>
          </w:rPr>
          <w:t>Пункт 16</w:t>
        </w:r>
      </w:hyperlink>
      <w:r>
        <w:rPr>
          <w:rFonts w:ascii="Arial" w:hAnsi="Arial" w:cs="Arial"/>
          <w:sz w:val="20"/>
          <w:szCs w:val="20"/>
        </w:rPr>
        <w:t xml:space="preserve"> изложить в следующей редакции:</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Объекты микробиологической промышленности, объекты по производству, хранению и переработке, уничтожению и утилизации токсических, сильнодействующих и химически опасных веществ, препаратов и их смесей,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(за исключением таких объектов, входящих в состав объекта топливно-энергетического комплекса), противочумные учреждения, а также помещения по хранению наркотических средств, психотропных веществ и их прекурсоров, которые в соответствии с установленным Правительством Российской Федерации порядком указанного хранения отнесены к 1-й или 2-й категории (за исключением случаев отсутствия в населенных пунктах или удаленных от населенных пунктов местностях, в которых располагаются помещения, относящиеся ко 2-й категории,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544E7" w:rsidRDefault="003544E7" w:rsidP="003544E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апреля 2022 г. N 809</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5" w:name="Par92"/>
      <w:bookmarkEnd w:id="5"/>
      <w:r>
        <w:rPr>
          <w:rFonts w:ascii="Arial" w:eastAsiaTheme="minorHAnsi" w:hAnsi="Arial" w:cs="Arial"/>
          <w:b/>
          <w:bCs/>
          <w:color w:val="auto"/>
          <w:sz w:val="20"/>
          <w:szCs w:val="20"/>
        </w:rPr>
        <w:t>ПЕРЕЧЕНЬ</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УТРАТИВШИХ СИЛУ АКТОВ И ОТДЕЛЬНЫХ ПОЛОЖЕНИЙ АКТОВ</w:t>
      </w:r>
    </w:p>
    <w:p w:rsidR="003544E7" w:rsidRDefault="003544E7" w:rsidP="003544E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ПРАВИТЕЛЬСТВА РОССИЙСКОЙ ФЕДЕРАЦИИ</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7" w:history="1">
        <w:r>
          <w:rPr>
            <w:rFonts w:ascii="Arial" w:hAnsi="Arial" w:cs="Arial"/>
            <w:color w:val="0000FF"/>
            <w:sz w:val="20"/>
            <w:szCs w:val="20"/>
          </w:rPr>
          <w:t>Абзац второй пункта 1</w:t>
        </w:r>
      </w:hyperlink>
      <w:r>
        <w:rPr>
          <w:rFonts w:ascii="Arial" w:hAnsi="Arial" w:cs="Arial"/>
          <w:sz w:val="20"/>
          <w:szCs w:val="20"/>
        </w:rPr>
        <w:t xml:space="preserve"> постановления Правительства Российской Федерации от 31 декабря 2009 г. N 1148 "О порядке хранения наркотических средств и психотропных веществ" и утвержденные им Правила хранения наркотических средств и психотропных веществ (Собрание законодательства Российской Федерации, 2010, N 4, ст. 394).</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9 июня 2010 г. N 419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(Собрание законодательства Российской Федерации, 2010, N 25, ст. 3178).</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9"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26 апреля 2011 г. N 323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2011, N 18, ст. 2649).</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0" w:history="1">
        <w:r>
          <w:rPr>
            <w:rFonts w:ascii="Arial" w:hAnsi="Arial" w:cs="Arial"/>
            <w:color w:val="0000FF"/>
            <w:sz w:val="20"/>
            <w:szCs w:val="20"/>
          </w:rPr>
          <w:t>Пункт 33</w:t>
        </w:r>
      </w:hyperlink>
      <w:r>
        <w:rPr>
          <w:rFonts w:ascii="Arial" w:hAnsi="Arial" w:cs="Arial"/>
          <w:sz w:val="20"/>
          <w:szCs w:val="20"/>
        </w:rP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1" w:history="1">
        <w:r>
          <w:rPr>
            <w:rFonts w:ascii="Arial" w:hAnsi="Arial" w:cs="Arial"/>
            <w:color w:val="0000FF"/>
            <w:sz w:val="20"/>
            <w:szCs w:val="20"/>
          </w:rPr>
          <w:t>Пункт 5</w:t>
        </w:r>
      </w:hyperlink>
      <w:r>
        <w:rPr>
          <w:rFonts w:ascii="Arial" w:hAnsi="Arial" w:cs="Arial"/>
          <w:sz w:val="20"/>
          <w:szCs w:val="20"/>
        </w:rPr>
        <w:t xml:space="preserve"> изменений,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 утвержденных постановлением Правительства Российской Федерации от 8 декабря 2011 г. N 1023 "О внесении изменений в некоторые акты Правительства Российской Федерации в связи с совершенствованием </w:t>
      </w:r>
      <w:r>
        <w:rPr>
          <w:rFonts w:ascii="Arial" w:hAnsi="Arial" w:cs="Arial"/>
          <w:sz w:val="20"/>
          <w:szCs w:val="20"/>
        </w:rPr>
        <w:lastRenderedPageBreak/>
        <w:t>контроля за оборотом прекурсоров наркотических средств и психотропных веществ" (Собрание законодательства Российской Федерации, 2011, N 51, ст. 7534).</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22" w:history="1">
        <w:r>
          <w:rPr>
            <w:rFonts w:ascii="Arial" w:hAnsi="Arial" w:cs="Arial"/>
            <w:color w:val="0000FF"/>
            <w:sz w:val="20"/>
            <w:szCs w:val="20"/>
          </w:rPr>
          <w:t>Пункт 112</w:t>
        </w:r>
      </w:hyperlink>
      <w:r>
        <w:rPr>
          <w:rFonts w:ascii="Arial" w:hAnsi="Arial" w:cs="Arial"/>
          <w:sz w:val="20"/>
          <w:szCs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23" w:history="1">
        <w:r>
          <w:rPr>
            <w:rFonts w:ascii="Arial" w:hAnsi="Arial" w:cs="Arial"/>
            <w:color w:val="0000FF"/>
            <w:sz w:val="20"/>
            <w:szCs w:val="20"/>
          </w:rPr>
          <w:t>Пункт 6</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февраля 2013 г. N 127 "О внесении изменений в некоторые акты Правительства Российской Федерации" (Собрание законодательства Российской Федерации, 2013, N 8, ст. 831).</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2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29 марта 2014 г. N 249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2014, N 15, ст. 1752).</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25" w:history="1">
        <w:r>
          <w:rPr>
            <w:rFonts w:ascii="Arial" w:hAnsi="Arial" w:cs="Arial"/>
            <w:color w:val="0000FF"/>
            <w:sz w:val="20"/>
            <w:szCs w:val="20"/>
          </w:rPr>
          <w:t>Пункт 3</w:t>
        </w:r>
      </w:hyperlink>
      <w:r>
        <w:rPr>
          <w:rFonts w:ascii="Arial" w:hAnsi="Arial" w:cs="Arial"/>
          <w:sz w:val="20"/>
          <w:szCs w:val="20"/>
        </w:rP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26" w:history="1">
        <w:r>
          <w:rPr>
            <w:rFonts w:ascii="Arial" w:hAnsi="Arial" w:cs="Arial"/>
            <w:color w:val="0000FF"/>
            <w:sz w:val="20"/>
            <w:szCs w:val="20"/>
          </w:rPr>
          <w:t>Пункт 2</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N 1545 "О внесении изменений в некоторые акты Правительства Российской Федерации" (Собрание законодательства Российской Федерации, 2017, N 2, ст. 373).</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27"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акты Правительства Российской Федерации по вопросам, связанным с оборотом наркотических средств и психотропных веществ, утвержденных постановлением Правительства Российской Федерации от 10 ноября 2017 г. N 1353 "О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 (Собрание законодательства Российской Федерации, 2017, N 47, ст. 6989).</w:t>
      </w:r>
    </w:p>
    <w:p w:rsidR="003544E7" w:rsidRDefault="003544E7" w:rsidP="003544E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2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19 октября 2020 г. N 1708 "О внесении изменений в Правила хранения наркотических средств, психотропных веществ и их прекурсоров" (Собрание законодательства Российской Федерации, 2020, N 43, ст. 6798).</w:t>
      </w: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autoSpaceDE w:val="0"/>
        <w:autoSpaceDN w:val="0"/>
        <w:adjustRightInd w:val="0"/>
        <w:spacing w:after="0" w:line="240" w:lineRule="auto"/>
        <w:jc w:val="both"/>
        <w:rPr>
          <w:rFonts w:ascii="Arial" w:hAnsi="Arial" w:cs="Arial"/>
          <w:sz w:val="20"/>
          <w:szCs w:val="20"/>
        </w:rPr>
      </w:pPr>
    </w:p>
    <w:p w:rsidR="003544E7" w:rsidRDefault="003544E7" w:rsidP="003544E7">
      <w:pPr>
        <w:pBdr>
          <w:top w:val="single" w:sz="6" w:space="0" w:color="auto"/>
        </w:pBdr>
        <w:autoSpaceDE w:val="0"/>
        <w:autoSpaceDN w:val="0"/>
        <w:adjustRightInd w:val="0"/>
        <w:spacing w:before="100" w:after="100" w:line="240" w:lineRule="auto"/>
        <w:jc w:val="both"/>
        <w:rPr>
          <w:rFonts w:ascii="Arial" w:hAnsi="Arial" w:cs="Arial"/>
          <w:sz w:val="2"/>
          <w:szCs w:val="2"/>
        </w:rPr>
      </w:pPr>
    </w:p>
    <w:p w:rsidR="00587A49" w:rsidRDefault="00587A49">
      <w:bookmarkStart w:id="6" w:name="_GoBack"/>
      <w:bookmarkEnd w:id="6"/>
    </w:p>
    <w:sectPr w:rsidR="00587A49" w:rsidSect="003F1E8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BD"/>
    <w:rsid w:val="003544E7"/>
    <w:rsid w:val="00587A49"/>
    <w:rsid w:val="00DD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EF4A6-4378-42B3-A482-F108C40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227&amp;dst=123" TargetMode="External"/><Relationship Id="rId13" Type="http://schemas.openxmlformats.org/officeDocument/2006/relationships/hyperlink" Target="https://login.consultant.ru/link/?req=doc&amp;base=LAW&amp;n=471038&amp;dst=375" TargetMode="External"/><Relationship Id="rId18" Type="http://schemas.openxmlformats.org/officeDocument/2006/relationships/hyperlink" Target="https://login.consultant.ru/link/?req=doc&amp;base=LAW&amp;n=399738" TargetMode="External"/><Relationship Id="rId26" Type="http://schemas.openxmlformats.org/officeDocument/2006/relationships/hyperlink" Target="https://login.consultant.ru/link/?req=doc&amp;base=LAW&amp;n=210522&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8089&amp;dst=100040" TargetMode="External"/><Relationship Id="rId7" Type="http://schemas.openxmlformats.org/officeDocument/2006/relationships/hyperlink" Target="https://login.consultant.ru/link/?req=doc&amp;base=LAW&amp;n=462227&amp;dst=100009" TargetMode="External"/><Relationship Id="rId12" Type="http://schemas.openxmlformats.org/officeDocument/2006/relationships/hyperlink" Target="https://login.consultant.ru/link/?req=doc&amp;base=LAW&amp;n=471038&amp;dst=375" TargetMode="External"/><Relationship Id="rId17" Type="http://schemas.openxmlformats.org/officeDocument/2006/relationships/hyperlink" Target="https://login.consultant.ru/link/?req=doc&amp;base=LAW&amp;n=365815&amp;dst=7" TargetMode="External"/><Relationship Id="rId25" Type="http://schemas.openxmlformats.org/officeDocument/2006/relationships/hyperlink" Target="https://login.consultant.ru/link/?req=doc&amp;base=LAW&amp;n=399737&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399449&amp;dst=156" TargetMode="External"/><Relationship Id="rId20" Type="http://schemas.openxmlformats.org/officeDocument/2006/relationships/hyperlink" Target="https://login.consultant.ru/link/?req=doc&amp;base=LAW&amp;n=394471&amp;dst=10009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9449&amp;dst=156" TargetMode="External"/><Relationship Id="rId11" Type="http://schemas.openxmlformats.org/officeDocument/2006/relationships/hyperlink" Target="https://login.consultant.ru/link/?req=doc&amp;base=LAW&amp;n=462227&amp;dst=100315" TargetMode="External"/><Relationship Id="rId24" Type="http://schemas.openxmlformats.org/officeDocument/2006/relationships/hyperlink" Target="https://login.consultant.ru/link/?req=doc&amp;base=LAW&amp;n=161398" TargetMode="External"/><Relationship Id="rId5" Type="http://schemas.openxmlformats.org/officeDocument/2006/relationships/hyperlink" Target="https://login.consultant.ru/link/?req=doc&amp;base=LAW&amp;n=471038&amp;dst=371" TargetMode="External"/><Relationship Id="rId15" Type="http://schemas.openxmlformats.org/officeDocument/2006/relationships/hyperlink" Target="https://login.consultant.ru/link/?req=doc&amp;base=LAW&amp;n=401941" TargetMode="External"/><Relationship Id="rId23" Type="http://schemas.openxmlformats.org/officeDocument/2006/relationships/hyperlink" Target="https://login.consultant.ru/link/?req=doc&amp;base=LAW&amp;n=161244&amp;dst=100019" TargetMode="External"/><Relationship Id="rId28" Type="http://schemas.openxmlformats.org/officeDocument/2006/relationships/hyperlink" Target="https://login.consultant.ru/link/?req=doc&amp;base=LAW&amp;n=365730" TargetMode="External"/><Relationship Id="rId10" Type="http://schemas.openxmlformats.org/officeDocument/2006/relationships/hyperlink" Target="https://login.consultant.ru/link/?req=doc&amp;base=LAW&amp;n=462227&amp;dst=100178" TargetMode="External"/><Relationship Id="rId19" Type="http://schemas.openxmlformats.org/officeDocument/2006/relationships/hyperlink" Target="https://login.consultant.ru/link/?req=doc&amp;base=LAW&amp;n=397240&amp;dst=1000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39369" TargetMode="External"/><Relationship Id="rId14" Type="http://schemas.openxmlformats.org/officeDocument/2006/relationships/hyperlink" Target="https://login.consultant.ru/link/?req=doc&amp;base=LAW&amp;n=399671" TargetMode="External"/><Relationship Id="rId22" Type="http://schemas.openxmlformats.org/officeDocument/2006/relationships/hyperlink" Target="https://login.consultant.ru/link/?req=doc&amp;base=LAW&amp;n=414077&amp;dst=100237" TargetMode="External"/><Relationship Id="rId27" Type="http://schemas.openxmlformats.org/officeDocument/2006/relationships/hyperlink" Target="https://login.consultant.ru/link/?req=doc&amp;base=LAW&amp;n=402734&amp;dst=1000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3507</Words>
  <Characters>19995</Characters>
  <Application>Microsoft Office Word</Application>
  <DocSecurity>0</DocSecurity>
  <Lines>166</Lines>
  <Paragraphs>46</Paragraphs>
  <ScaleCrop>false</ScaleCrop>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2025-02-19T06:53:00Z</dcterms:created>
  <dcterms:modified xsi:type="dcterms:W3CDTF">2025-02-19T06:54:00Z</dcterms:modified>
</cp:coreProperties>
</file>